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C8" w:rsidRDefault="003740C8" w:rsidP="00744F8E">
      <w:pPr>
        <w:jc w:val="both"/>
        <w:rPr>
          <w:rFonts w:ascii="Sylfaen" w:hAnsi="Sylfaen"/>
          <w:sz w:val="24"/>
          <w:szCs w:val="24"/>
        </w:rPr>
      </w:pPr>
    </w:p>
    <w:p w:rsidR="003740C8" w:rsidRPr="00834974" w:rsidRDefault="003740C8" w:rsidP="00744F8E">
      <w:pPr>
        <w:jc w:val="both"/>
        <w:rPr>
          <w:rFonts w:ascii="Sylfaen" w:hAnsi="Sylfaen"/>
          <w:sz w:val="24"/>
          <w:szCs w:val="24"/>
        </w:rPr>
      </w:pPr>
      <w:r w:rsidRPr="00834974">
        <w:rPr>
          <w:rFonts w:ascii="Sylfaen" w:hAnsi="Sylfaen"/>
          <w:sz w:val="24"/>
          <w:szCs w:val="24"/>
        </w:rPr>
        <w:t xml:space="preserve">Patient: Gulnaz </w:t>
      </w:r>
      <w:r w:rsidRPr="00834974">
        <w:rPr>
          <w:rFonts w:ascii="Sylfaen" w:hAnsi="Sylfaen"/>
          <w:sz w:val="24"/>
          <w:szCs w:val="24"/>
        </w:rPr>
        <w:t xml:space="preserve">Dagargulia, </w:t>
      </w:r>
      <w:r w:rsidRPr="00834974">
        <w:rPr>
          <w:rFonts w:ascii="Sylfaen" w:hAnsi="Sylfaen"/>
          <w:sz w:val="24"/>
          <w:szCs w:val="24"/>
        </w:rPr>
        <w:t>64</w:t>
      </w:r>
    </w:p>
    <w:p w:rsidR="003740C8" w:rsidRPr="00834974" w:rsidRDefault="003740C8" w:rsidP="00744F8E">
      <w:pPr>
        <w:jc w:val="both"/>
        <w:rPr>
          <w:rFonts w:ascii="Sylfaen" w:hAnsi="Sylfaen"/>
          <w:sz w:val="24"/>
          <w:szCs w:val="24"/>
        </w:rPr>
      </w:pPr>
      <w:r w:rsidRPr="00834974">
        <w:rPr>
          <w:rFonts w:ascii="Sylfaen" w:hAnsi="Sylfaen"/>
          <w:sz w:val="24"/>
          <w:szCs w:val="24"/>
        </w:rPr>
        <w:t>Date: 31.10.2019</w:t>
      </w:r>
    </w:p>
    <w:p w:rsidR="003740C8" w:rsidRPr="00834974" w:rsidRDefault="003740C8" w:rsidP="00744F8E">
      <w:pPr>
        <w:jc w:val="both"/>
        <w:rPr>
          <w:rFonts w:ascii="Sylfaen" w:hAnsi="Sylfaen"/>
          <w:sz w:val="24"/>
          <w:szCs w:val="24"/>
        </w:rPr>
      </w:pPr>
    </w:p>
    <w:p w:rsidR="003740C8" w:rsidRPr="00834974" w:rsidRDefault="003740C8" w:rsidP="00744F8E">
      <w:pPr>
        <w:jc w:val="both"/>
        <w:rPr>
          <w:rFonts w:ascii="Sylfaen" w:hAnsi="Sylfaen"/>
          <w:sz w:val="24"/>
          <w:szCs w:val="24"/>
        </w:rPr>
      </w:pPr>
      <w:r w:rsidRPr="00834974">
        <w:rPr>
          <w:rFonts w:ascii="Sylfaen" w:hAnsi="Sylfaen"/>
          <w:sz w:val="24"/>
          <w:szCs w:val="24"/>
        </w:rPr>
        <w:t>        Neurological status: Verbal contact with the patient is not</w:t>
      </w:r>
      <w:r w:rsidR="00744F8E">
        <w:rPr>
          <w:rFonts w:ascii="Sylfaen" w:hAnsi="Sylfaen"/>
          <w:sz w:val="24"/>
          <w:szCs w:val="24"/>
        </w:rPr>
        <w:t xml:space="preserve"> possible. </w:t>
      </w:r>
      <w:proofErr w:type="gramStart"/>
      <w:r w:rsidR="00744F8E">
        <w:rPr>
          <w:rFonts w:ascii="Sylfaen" w:hAnsi="Sylfaen"/>
          <w:sz w:val="24"/>
          <w:szCs w:val="24"/>
        </w:rPr>
        <w:t xml:space="preserve">Prone to </w:t>
      </w:r>
      <w:r w:rsidRPr="00834974">
        <w:rPr>
          <w:rFonts w:ascii="Sylfaen" w:hAnsi="Sylfaen"/>
          <w:sz w:val="24"/>
          <w:szCs w:val="24"/>
        </w:rPr>
        <w:t>drowsiness, getting tired quickly.</w:t>
      </w:r>
      <w:proofErr w:type="gramEnd"/>
      <w:r w:rsidRPr="00834974">
        <w:rPr>
          <w:rFonts w:ascii="Sylfaen" w:hAnsi="Sylfaen"/>
          <w:sz w:val="24"/>
          <w:szCs w:val="24"/>
        </w:rPr>
        <w:t xml:space="preserve"> </w:t>
      </w:r>
      <w:r w:rsidRPr="00834974">
        <w:rPr>
          <w:rFonts w:ascii="Sylfaen" w:hAnsi="Sylfaen"/>
          <w:sz w:val="24"/>
          <w:szCs w:val="24"/>
        </w:rPr>
        <w:t xml:space="preserve">The direction of vision is mostly to the left. </w:t>
      </w:r>
      <w:proofErr w:type="gramStart"/>
      <w:r w:rsidRPr="00834974">
        <w:rPr>
          <w:rFonts w:ascii="Sylfaen" w:hAnsi="Sylfaen"/>
          <w:sz w:val="24"/>
          <w:szCs w:val="24"/>
        </w:rPr>
        <w:t xml:space="preserve">Periodically </w:t>
      </w:r>
      <w:r w:rsidRPr="00834974">
        <w:rPr>
          <w:rFonts w:ascii="Sylfaen" w:hAnsi="Sylfaen"/>
          <w:sz w:val="24"/>
          <w:szCs w:val="24"/>
        </w:rPr>
        <w:t xml:space="preserve">upon </w:t>
      </w:r>
      <w:r w:rsidRPr="00834974">
        <w:rPr>
          <w:rFonts w:ascii="Sylfaen" w:hAnsi="Sylfaen"/>
          <w:sz w:val="24"/>
          <w:szCs w:val="24"/>
        </w:rPr>
        <w:t>affe</w:t>
      </w:r>
      <w:r w:rsidRPr="00834974">
        <w:rPr>
          <w:rFonts w:ascii="Sylfaen" w:hAnsi="Sylfaen"/>
          <w:sz w:val="24"/>
          <w:szCs w:val="24"/>
        </w:rPr>
        <w:t>rent</w:t>
      </w:r>
      <w:r w:rsidRPr="00834974">
        <w:rPr>
          <w:rFonts w:ascii="Sylfaen" w:hAnsi="Sylfaen"/>
          <w:sz w:val="24"/>
          <w:szCs w:val="24"/>
        </w:rPr>
        <w:t xml:space="preserve"> irritation </w:t>
      </w:r>
      <w:r w:rsidRPr="00834974">
        <w:rPr>
          <w:rFonts w:ascii="Sylfaen" w:hAnsi="Sylfaen"/>
          <w:sz w:val="24"/>
          <w:szCs w:val="24"/>
        </w:rPr>
        <w:t>tries to</w:t>
      </w:r>
      <w:r w:rsidRPr="00834974">
        <w:rPr>
          <w:rFonts w:ascii="Sylfaen" w:hAnsi="Sylfaen"/>
          <w:sz w:val="24"/>
          <w:szCs w:val="24"/>
        </w:rPr>
        <w:t xml:space="preserve"> fix the gaze, which is characterized by a medium amplitude horizontal nystagmus with a rotating component.</w:t>
      </w:r>
      <w:proofErr w:type="gramEnd"/>
    </w:p>
    <w:p w:rsidR="00D6789C" w:rsidRPr="00834974" w:rsidRDefault="003740C8" w:rsidP="00744F8E">
      <w:pPr>
        <w:jc w:val="both"/>
        <w:rPr>
          <w:rFonts w:ascii="Sylfaen" w:hAnsi="Sylfaen"/>
          <w:sz w:val="24"/>
          <w:szCs w:val="24"/>
        </w:rPr>
      </w:pPr>
      <w:r w:rsidRPr="00834974">
        <w:rPr>
          <w:rFonts w:ascii="Sylfaen" w:hAnsi="Sylfaen" w:cs="Times New Roman"/>
          <w:bCs/>
          <w:color w:val="333333"/>
          <w:sz w:val="24"/>
          <w:szCs w:val="24"/>
        </w:rPr>
        <w:t>E</w:t>
      </w:r>
      <w:r w:rsidRPr="003740C8">
        <w:rPr>
          <w:rFonts w:ascii="Sylfaen" w:hAnsi="Sylfaen" w:cs="Times New Roman"/>
          <w:bCs/>
          <w:color w:val="333333"/>
          <w:sz w:val="24"/>
          <w:szCs w:val="24"/>
        </w:rPr>
        <w:t>yebulb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>s are round,</w:t>
      </w:r>
      <w:r w:rsidRPr="00834974">
        <w:rPr>
          <w:rFonts w:ascii="Sylfaen" w:hAnsi="Sylfaen"/>
          <w:sz w:val="24"/>
          <w:szCs w:val="24"/>
        </w:rPr>
        <w:t xml:space="preserve"> 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equal to D = S. Photoreaction </w:t>
      </w:r>
      <w:r w:rsidR="00834974" w:rsidRPr="00834974">
        <w:rPr>
          <w:rFonts w:ascii="Sylfaen" w:hAnsi="Sylfaen" w:cs="Times New Roman"/>
          <w:bCs/>
          <w:color w:val="333333"/>
          <w:sz w:val="24"/>
          <w:szCs w:val="24"/>
        </w:rPr>
        <w:t>direct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 and </w:t>
      </w:r>
      <w:r w:rsidR="00834974" w:rsidRPr="00834974">
        <w:rPr>
          <w:rFonts w:ascii="Sylfaen" w:hAnsi="Sylfaen" w:cs="Times New Roman"/>
          <w:color w:val="333333"/>
          <w:sz w:val="24"/>
          <w:szCs w:val="24"/>
        </w:rPr>
        <w:t>indirect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 - alive</w:t>
      </w:r>
      <w:r w:rsidR="00D6789C" w:rsidRPr="00834974">
        <w:rPr>
          <w:rFonts w:ascii="Sylfaen" w:hAnsi="Sylfaen" w:cs="Times New Roman"/>
          <w:bCs/>
          <w:color w:val="333333"/>
          <w:sz w:val="24"/>
          <w:szCs w:val="24"/>
        </w:rPr>
        <w:t>. Bilateral Corneal Reflexes - al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>ive. Deliberate and spontaneous movements do not occur. It responds to painful</w:t>
      </w:r>
      <w:r w:rsidR="00D6789C"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 </w:t>
      </w:r>
      <w:r w:rsidR="00744F8E" w:rsidRPr="00834974">
        <w:rPr>
          <w:rFonts w:ascii="Sylfaen" w:hAnsi="Sylfaen" w:cs="Times New Roman"/>
          <w:bCs/>
          <w:color w:val="333333"/>
          <w:sz w:val="24"/>
          <w:szCs w:val="24"/>
        </w:rPr>
        <w:t>afferent irritation</w:t>
      </w:r>
      <w:r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 with painful grimace and </w:t>
      </w:r>
      <w:r w:rsidR="00D6789C" w:rsidRPr="00834974">
        <w:rPr>
          <w:rFonts w:ascii="Sylfaen" w:hAnsi="Sylfaen" w:cs="Times New Roman"/>
          <w:bCs/>
          <w:color w:val="333333"/>
          <w:sz w:val="24"/>
          <w:szCs w:val="24"/>
        </w:rPr>
        <w:t xml:space="preserve">upper limb </w:t>
      </w:r>
      <w:r w:rsidR="00D6789C" w:rsidRPr="00834974">
        <w:rPr>
          <w:rFonts w:ascii="Sylfaen" w:hAnsi="Sylfaen" w:cs="Times New Roman"/>
          <w:color w:val="333333"/>
          <w:sz w:val="24"/>
          <w:szCs w:val="24"/>
        </w:rPr>
        <w:t>extension</w:t>
      </w:r>
    </w:p>
    <w:p w:rsidR="0062062D" w:rsidRPr="00834974" w:rsidRDefault="002E2CA3" w:rsidP="00744F8E">
      <w:pPr>
        <w:jc w:val="both"/>
        <w:rPr>
          <w:rFonts w:ascii="Sylfaen" w:hAnsi="Sylfaen"/>
          <w:sz w:val="24"/>
          <w:szCs w:val="24"/>
          <w:lang w:val="ka-GE"/>
        </w:rPr>
      </w:pPr>
      <w:r w:rsidRPr="00834974">
        <w:rPr>
          <w:rFonts w:ascii="Sylfaen" w:hAnsi="Sylfaen"/>
          <w:sz w:val="24"/>
          <w:szCs w:val="24"/>
        </w:rPr>
        <w:t>H</w:t>
      </w:r>
      <w:r w:rsidR="00D6789C" w:rsidRPr="00834974">
        <w:rPr>
          <w:rFonts w:ascii="Sylfaen" w:hAnsi="Sylfaen"/>
          <w:sz w:val="24"/>
          <w:szCs w:val="24"/>
        </w:rPr>
        <w:t xml:space="preserve">ypertonic muscle is expressed, pyramidal type, mostly in the left limb. </w:t>
      </w:r>
      <w:r w:rsidR="00D6789C" w:rsidRPr="00834974">
        <w:rPr>
          <w:rFonts w:ascii="Sylfaen" w:hAnsi="Sylfaen"/>
          <w:bCs/>
          <w:sz w:val="24"/>
          <w:szCs w:val="24"/>
          <w:shd w:val="clear" w:color="auto" w:fill="FFFFFF"/>
        </w:rPr>
        <w:t>Tendon</w:t>
      </w:r>
      <w:r w:rsidRPr="00834974">
        <w:rPr>
          <w:rFonts w:ascii="Sylfaen" w:hAnsi="Sylfaen"/>
          <w:bCs/>
          <w:sz w:val="24"/>
          <w:szCs w:val="24"/>
          <w:shd w:val="clear" w:color="auto" w:fill="FFFFFF"/>
        </w:rPr>
        <w:t xml:space="preserve">-bone reflexes are </w:t>
      </w:r>
      <w:r w:rsidR="007A53A3" w:rsidRPr="00834974">
        <w:rPr>
          <w:rFonts w:ascii="Sylfaen" w:hAnsi="Sylfaen"/>
          <w:sz w:val="24"/>
          <w:szCs w:val="24"/>
        </w:rPr>
        <w:t xml:space="preserve">induced with </w:t>
      </w:r>
      <w:r w:rsidR="00834974" w:rsidRPr="00834974">
        <w:rPr>
          <w:rFonts w:ascii="Sylfaen" w:hAnsi="Sylfaen" w:cs="Times New Roman"/>
          <w:sz w:val="24"/>
          <w:szCs w:val="24"/>
        </w:rPr>
        <w:t>palikinesia</w:t>
      </w:r>
      <w:r w:rsidR="00834974" w:rsidRPr="00834974">
        <w:rPr>
          <w:rFonts w:ascii="Sylfaen" w:hAnsi="Sylfaen" w:cs="Times New Roman"/>
          <w:iCs/>
          <w:sz w:val="24"/>
          <w:szCs w:val="24"/>
        </w:rPr>
        <w:t>,</w:t>
      </w:r>
      <w:r w:rsidR="00D6789C" w:rsidRPr="00834974">
        <w:rPr>
          <w:rFonts w:ascii="Sylfaen" w:hAnsi="Sylfaen"/>
          <w:sz w:val="24"/>
          <w:szCs w:val="24"/>
        </w:rPr>
        <w:t xml:space="preserve"> with an abundance of S&gt; D in the left. </w:t>
      </w:r>
      <w:proofErr w:type="gramStart"/>
      <w:r w:rsidR="00D6789C" w:rsidRPr="00834974">
        <w:rPr>
          <w:rFonts w:ascii="Sylfaen" w:hAnsi="Sylfaen"/>
          <w:sz w:val="24"/>
          <w:szCs w:val="24"/>
        </w:rPr>
        <w:t>Mutually caused by Babinsky's pathological reflex, much to the left.</w:t>
      </w:r>
      <w:proofErr w:type="gramEnd"/>
      <w:r w:rsidR="00D6789C" w:rsidRPr="00834974">
        <w:rPr>
          <w:rFonts w:ascii="Sylfaen" w:hAnsi="Sylfaen"/>
          <w:sz w:val="24"/>
          <w:szCs w:val="24"/>
        </w:rPr>
        <w:t xml:space="preserve"> No meningeal signs.</w:t>
      </w:r>
    </w:p>
    <w:p w:rsidR="0062062D" w:rsidRPr="00834974" w:rsidRDefault="00F004E2" w:rsidP="00744F8E">
      <w:pPr>
        <w:jc w:val="both"/>
        <w:rPr>
          <w:rFonts w:ascii="Sylfaen" w:hAnsi="Sylfaen"/>
          <w:sz w:val="24"/>
          <w:szCs w:val="24"/>
          <w:lang w:val="ka-GE"/>
        </w:rPr>
      </w:pPr>
      <w:r w:rsidRPr="00834974">
        <w:rPr>
          <w:rFonts w:ascii="Sylfaen" w:hAnsi="Sylfaen"/>
          <w:sz w:val="24"/>
          <w:szCs w:val="24"/>
          <w:lang w:val="ka-GE"/>
        </w:rPr>
        <w:t xml:space="preserve"> </w:t>
      </w:r>
      <w:r w:rsidR="002E2CA3" w:rsidRPr="00834974">
        <w:rPr>
          <w:rFonts w:ascii="Sylfaen" w:hAnsi="Sylfaen" w:cs="BPG Algeti"/>
          <w:sz w:val="24"/>
          <w:szCs w:val="24"/>
        </w:rPr>
        <w:t>Diagnosis: results of post-anoxic injury; Symptomatic, focal, secondary generalized convulsions with frequent serial flow.</w:t>
      </w:r>
    </w:p>
    <w:p w:rsidR="0062062D" w:rsidRPr="00834974" w:rsidRDefault="0062062D" w:rsidP="00744F8E">
      <w:pPr>
        <w:jc w:val="both"/>
        <w:rPr>
          <w:rFonts w:ascii="Sylfaen" w:hAnsi="Sylfaen" w:cs="BPG Algeti"/>
          <w:sz w:val="24"/>
          <w:szCs w:val="24"/>
          <w:lang w:val="ka-GE"/>
        </w:rPr>
      </w:pPr>
    </w:p>
    <w:p w:rsidR="0062062D" w:rsidRPr="00834974" w:rsidRDefault="0062062D" w:rsidP="00744F8E">
      <w:pPr>
        <w:jc w:val="both"/>
        <w:rPr>
          <w:rFonts w:ascii="Sylfaen" w:hAnsi="Sylfaen" w:cs="BPG Algeti"/>
          <w:sz w:val="24"/>
          <w:szCs w:val="24"/>
        </w:rPr>
      </w:pPr>
    </w:p>
    <w:p w:rsidR="0062062D" w:rsidRPr="00834974" w:rsidRDefault="00F004E2" w:rsidP="00744F8E">
      <w:pPr>
        <w:jc w:val="both"/>
        <w:rPr>
          <w:rFonts w:ascii="Sylfaen" w:hAnsi="Sylfaen" w:cs="BPG Algeti"/>
          <w:sz w:val="24"/>
          <w:szCs w:val="24"/>
          <w:lang w:val="ka-GE"/>
        </w:rPr>
      </w:pPr>
      <w:r w:rsidRPr="00834974">
        <w:rPr>
          <w:rFonts w:ascii="Sylfaen" w:hAnsi="Sylfaen" w:cs="BPG Algeti"/>
          <w:sz w:val="24"/>
          <w:szCs w:val="24"/>
          <w:lang w:val="ka-GE"/>
        </w:rPr>
        <w:t xml:space="preserve">    </w:t>
      </w:r>
      <w:r w:rsidR="002E2CA3" w:rsidRPr="00834974">
        <w:rPr>
          <w:rFonts w:ascii="Sylfaen" w:hAnsi="Sylfaen" w:cs="BPG Algeti"/>
          <w:sz w:val="24"/>
          <w:szCs w:val="24"/>
        </w:rPr>
        <w:t>Neurologist</w:t>
      </w:r>
      <w:r w:rsidRPr="00834974">
        <w:rPr>
          <w:rFonts w:ascii="Sylfaen" w:hAnsi="Sylfaen" w:cs="BPG Algeti"/>
          <w:sz w:val="24"/>
          <w:szCs w:val="24"/>
          <w:lang w:val="ka-GE"/>
        </w:rPr>
        <w:t xml:space="preserve">:                                          </w:t>
      </w:r>
      <w:r w:rsidRPr="00834974">
        <w:rPr>
          <w:rFonts w:ascii="Sylfaen" w:hAnsi="Sylfaen" w:cs="BPG Algeti"/>
          <w:sz w:val="24"/>
          <w:szCs w:val="24"/>
          <w:lang w:val="ka-GE"/>
        </w:rPr>
        <w:t xml:space="preserve">                                      / </w:t>
      </w:r>
      <w:r w:rsidR="002E2CA3" w:rsidRPr="00834974">
        <w:rPr>
          <w:rFonts w:ascii="Sylfaen" w:hAnsi="Sylfaen" w:cs="BPG Algeti"/>
          <w:sz w:val="24"/>
          <w:szCs w:val="24"/>
        </w:rPr>
        <w:t>E.Gamtsemlidze</w:t>
      </w:r>
      <w:r w:rsidRPr="00834974">
        <w:rPr>
          <w:rFonts w:ascii="Sylfaen" w:hAnsi="Sylfaen" w:cs="BPG Algeti"/>
          <w:sz w:val="24"/>
          <w:szCs w:val="24"/>
          <w:lang w:val="ka-GE"/>
        </w:rPr>
        <w:t xml:space="preserve"> /</w:t>
      </w:r>
    </w:p>
    <w:p w:rsidR="0062062D" w:rsidRDefault="0062062D">
      <w:pPr>
        <w:rPr>
          <w:rFonts w:ascii="BPG Algeti" w:hAnsi="BPG Algeti" w:cs="BPG Algeti"/>
          <w:sz w:val="40"/>
          <w:szCs w:val="40"/>
        </w:rPr>
      </w:pPr>
      <w:bookmarkStart w:id="0" w:name="_GoBack"/>
      <w:bookmarkEnd w:id="0"/>
    </w:p>
    <w:p w:rsidR="0062062D" w:rsidRDefault="0062062D">
      <w:pPr>
        <w:rPr>
          <w:rFonts w:ascii="BPG Algeti" w:hAnsi="BPG Algeti" w:cs="BPG Algeti"/>
          <w:sz w:val="40"/>
          <w:szCs w:val="40"/>
        </w:rPr>
      </w:pPr>
    </w:p>
    <w:p w:rsidR="0062062D" w:rsidRDefault="0062062D">
      <w:pPr>
        <w:rPr>
          <w:rFonts w:ascii="BPG Algeti" w:hAnsi="BPG Algeti" w:cs="BPG Algeti"/>
          <w:sz w:val="40"/>
          <w:szCs w:val="40"/>
        </w:rPr>
      </w:pPr>
    </w:p>
    <w:p w:rsidR="0062062D" w:rsidRDefault="0062062D">
      <w:pPr>
        <w:rPr>
          <w:rFonts w:ascii="BPG Algeti" w:hAnsi="BPG Algeti" w:cs="BPG Algeti"/>
          <w:sz w:val="40"/>
          <w:szCs w:val="40"/>
        </w:rPr>
      </w:pPr>
    </w:p>
    <w:p w:rsidR="0062062D" w:rsidRDefault="0062062D">
      <w:pPr>
        <w:rPr>
          <w:rFonts w:ascii="BPG Algeti" w:hAnsi="BPG Algeti" w:cs="BPG Algeti"/>
          <w:sz w:val="40"/>
          <w:szCs w:val="40"/>
        </w:rPr>
      </w:pPr>
    </w:p>
    <w:p w:rsidR="0062062D" w:rsidRDefault="0062062D">
      <w:pPr>
        <w:rPr>
          <w:rFonts w:ascii="BPG Algeti" w:hAnsi="BPG Algeti" w:cs="BPG Algeti"/>
          <w:sz w:val="40"/>
          <w:szCs w:val="40"/>
        </w:rPr>
      </w:pPr>
    </w:p>
    <w:p w:rsidR="0062062D" w:rsidRDefault="0062062D">
      <w:pPr>
        <w:rPr>
          <w:rFonts w:ascii="BPG Algeti" w:hAnsi="BPG Algeti" w:cs="BPG Algeti"/>
          <w:b/>
          <w:sz w:val="40"/>
          <w:szCs w:val="40"/>
        </w:rPr>
      </w:pPr>
    </w:p>
    <w:p w:rsidR="0062062D" w:rsidRDefault="00F004E2">
      <w:pPr>
        <w:tabs>
          <w:tab w:val="left" w:pos="1816"/>
        </w:tabs>
      </w:pPr>
      <w:r>
        <w:rPr>
          <w:rFonts w:ascii="BPG Algeti" w:hAnsi="BPG Algeti" w:cs="BPG Algeti"/>
          <w:sz w:val="40"/>
          <w:szCs w:val="40"/>
        </w:rPr>
        <w:tab/>
      </w:r>
    </w:p>
    <w:sectPr w:rsidR="0062062D">
      <w:headerReference w:type="default" r:id="rId8"/>
      <w:footerReference w:type="default" r:id="rId9"/>
      <w:pgSz w:w="11906" w:h="16838"/>
      <w:pgMar w:top="1134" w:right="296" w:bottom="452" w:left="360" w:header="540" w:footer="3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E2" w:rsidRDefault="00F004E2">
      <w:pPr>
        <w:spacing w:after="0" w:line="240" w:lineRule="auto"/>
      </w:pPr>
      <w:r>
        <w:separator/>
      </w:r>
    </w:p>
  </w:endnote>
  <w:endnote w:type="continuationSeparator" w:id="0">
    <w:p w:rsidR="00F004E2" w:rsidRDefault="00F0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Algeti">
    <w:altName w:val="Times New Roman"/>
    <w:charset w:val="00"/>
    <w:family w:val="roman"/>
    <w:pitch w:val="variable"/>
  </w:font>
  <w:font w:name="Klinic Slab 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2D" w:rsidRDefault="00F004E2">
    <w:pPr>
      <w:pStyle w:val="Footer"/>
      <w:tabs>
        <w:tab w:val="clear" w:pos="9360"/>
        <w:tab w:val="left" w:pos="270"/>
        <w:tab w:val="right" w:pos="10980"/>
      </w:tabs>
      <w:ind w:firstLine="270"/>
      <w:rPr>
        <w:rFonts w:ascii="BPG Algeti" w:hAnsi="BPG Algeti" w:cs="BPG Algeti"/>
        <w:sz w:val="18"/>
        <w:szCs w:val="18"/>
        <w:lang w:val="ka-GE"/>
      </w:rPr>
    </w:pPr>
    <w:r>
      <w:rPr>
        <w:rFonts w:ascii="BPG Algeti" w:hAnsi="BPG Algeti" w:cs="BPG Algeti"/>
        <w:sz w:val="18"/>
        <w:szCs w:val="18"/>
        <w:lang w:val="ka-GE"/>
      </w:rPr>
      <w:t>შპს „კავკასიის მედიცინის ცენტრი“ ს/კ 404925747</w:t>
    </w:r>
    <w:r>
      <w:rPr>
        <w:rFonts w:ascii="BPG Algeti" w:hAnsi="BPG Algeti" w:cs="BPG Algeti"/>
        <w:sz w:val="18"/>
        <w:szCs w:val="18"/>
        <w:lang w:val="ka-GE"/>
      </w:rPr>
      <w:tab/>
    </w:r>
    <w:r>
      <w:rPr>
        <w:rFonts w:ascii="BPG Algeti" w:hAnsi="BPG Algeti" w:cs="BPG Algeti"/>
        <w:sz w:val="18"/>
        <w:szCs w:val="18"/>
        <w:lang w:val="ka-GE"/>
      </w:rPr>
      <w:tab/>
      <w:t>ტელ.: + 995 32 2 55 05 05</w:t>
    </w:r>
  </w:p>
  <w:p w:rsidR="0062062D" w:rsidRDefault="00F004E2">
    <w:pPr>
      <w:pStyle w:val="Footer"/>
      <w:tabs>
        <w:tab w:val="clear" w:pos="9360"/>
        <w:tab w:val="left" w:pos="270"/>
        <w:tab w:val="right" w:pos="10980"/>
      </w:tabs>
      <w:ind w:firstLine="270"/>
      <w:rPr>
        <w:rFonts w:ascii="BPG Algeti" w:hAnsi="BPG Algeti" w:cs="BPG Algeti"/>
        <w:color w:val="58595B"/>
        <w:sz w:val="18"/>
      </w:rPr>
    </w:pPr>
    <w:r>
      <w:rPr>
        <w:rFonts w:ascii="BPG Algeti" w:hAnsi="BPG Algeti" w:cs="BPG Algeti"/>
        <w:sz w:val="18"/>
        <w:szCs w:val="18"/>
        <w:lang w:val="ka-GE"/>
      </w:rPr>
      <w:t xml:space="preserve">პ. ქავთარაძის ქ. 23 ; 0186 თბილისი, საქართველო </w:t>
    </w:r>
    <w:r>
      <w:rPr>
        <w:rFonts w:ascii="BPG Algeti" w:hAnsi="BPG Algeti" w:cs="BPG Algeti"/>
        <w:sz w:val="18"/>
        <w:szCs w:val="18"/>
        <w:lang w:val="ka-GE"/>
      </w:rPr>
      <w:tab/>
    </w:r>
    <w:r>
      <w:rPr>
        <w:rFonts w:ascii="BPG Algeti" w:hAnsi="BPG Algeti" w:cs="BPG Algeti"/>
        <w:sz w:val="18"/>
        <w:szCs w:val="18"/>
        <w:lang w:val="ka-GE"/>
      </w:rPr>
      <w:tab/>
    </w:r>
    <w:r>
      <w:rPr>
        <w:rFonts w:ascii="Klinic Slab Bold" w:hAnsi="Klinic Slab Bold"/>
        <w:color w:val="58595B"/>
        <w:sz w:val="18"/>
        <w:szCs w:val="24"/>
      </w:rPr>
      <w:t>www.cmchospital.ge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E2" w:rsidRDefault="00F004E2">
      <w:pPr>
        <w:spacing w:after="0" w:line="240" w:lineRule="auto"/>
      </w:pPr>
      <w:r>
        <w:separator/>
      </w:r>
    </w:p>
  </w:footnote>
  <w:footnote w:type="continuationSeparator" w:id="0">
    <w:p w:rsidR="00F004E2" w:rsidRDefault="00F0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62D" w:rsidRDefault="00F004E2">
    <w:pPr>
      <w:pStyle w:val="Header"/>
      <w:tabs>
        <w:tab w:val="left" w:pos="0"/>
      </w:tabs>
      <w:ind w:firstLine="180"/>
    </w:pPr>
    <w:r>
      <w:rPr>
        <w:noProof/>
      </w:rPr>
      <w:drawing>
        <wp:inline distT="0" distB="0" distL="0" distR="0">
          <wp:extent cx="170434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062D" w:rsidRDefault="0062062D">
    <w:pPr>
      <w:pStyle w:val="Header"/>
      <w:tabs>
        <w:tab w:val="left" w:pos="0"/>
      </w:tabs>
      <w:ind w:firstLine="180"/>
    </w:pPr>
  </w:p>
  <w:p w:rsidR="0062062D" w:rsidRDefault="0062062D">
    <w:pPr>
      <w:pStyle w:val="Header"/>
      <w:tabs>
        <w:tab w:val="left" w:pos="0"/>
      </w:tabs>
      <w:ind w:firstLine="180"/>
    </w:pPr>
  </w:p>
  <w:p w:rsidR="0062062D" w:rsidRDefault="0062062D">
    <w:pPr>
      <w:pStyle w:val="Header"/>
      <w:tabs>
        <w:tab w:val="left" w:pos="0"/>
      </w:tabs>
      <w:ind w:firstLine="1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2D"/>
    <w:rsid w:val="002E2CA3"/>
    <w:rsid w:val="003740C8"/>
    <w:rsid w:val="0062062D"/>
    <w:rsid w:val="00744F8E"/>
    <w:rsid w:val="007A53A3"/>
    <w:rsid w:val="00834974"/>
    <w:rsid w:val="00D6789C"/>
    <w:rsid w:val="00F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F9"/>
    <w:pPr>
      <w:spacing w:after="200" w:line="276" w:lineRule="auto"/>
    </w:pPr>
    <w:rPr>
      <w:rFonts w:cs="Calibri"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78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C6221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2CCF"/>
    <w:rPr>
      <w:rFonts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A2CCF"/>
    <w:rPr>
      <w:rFonts w:cs="Calibri"/>
      <w:sz w:val="22"/>
      <w:szCs w:val="22"/>
    </w:rPr>
  </w:style>
  <w:style w:type="character" w:customStyle="1" w:styleId="InternetLink">
    <w:name w:val="Internet Link"/>
    <w:basedOn w:val="DefaultParagraphFont"/>
    <w:rsid w:val="008E7284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MS Mincho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28A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qFormat/>
    <w:rsid w:val="00C622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2C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2CC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972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D678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CF9"/>
    <w:pPr>
      <w:spacing w:after="200" w:line="276" w:lineRule="auto"/>
    </w:pPr>
    <w:rPr>
      <w:rFonts w:cs="Calibri"/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678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C6221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A2CCF"/>
    <w:rPr>
      <w:rFonts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A2CCF"/>
    <w:rPr>
      <w:rFonts w:cs="Calibri"/>
      <w:sz w:val="22"/>
      <w:szCs w:val="22"/>
    </w:rPr>
  </w:style>
  <w:style w:type="character" w:customStyle="1" w:styleId="InternetLink">
    <w:name w:val="Internet Link"/>
    <w:basedOn w:val="DefaultParagraphFont"/>
    <w:rsid w:val="008E7284"/>
    <w:rPr>
      <w:color w:val="0000FF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b w:val="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MS Mincho" w:cs="Times New Roman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28A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qFormat/>
    <w:rsid w:val="00C622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2C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A2CC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rsid w:val="00972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D678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754BC-C1D8-499F-B62B-DD8716BE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KB. Bantsuri</dc:creator>
  <dc:description/>
  <cp:lastModifiedBy>Tea Kankia</cp:lastModifiedBy>
  <cp:revision>8</cp:revision>
  <cp:lastPrinted>2019-09-24T09:19:00Z</cp:lastPrinted>
  <dcterms:created xsi:type="dcterms:W3CDTF">2018-02-28T08:31:00Z</dcterms:created>
  <dcterms:modified xsi:type="dcterms:W3CDTF">2019-11-01T11:51:00Z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NMC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